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83" w:rsidRPr="003B3022" w:rsidRDefault="00E91283" w:rsidP="00E91283">
      <w:pPr>
        <w:pStyle w:val="Nagwek1"/>
        <w:rPr>
          <w:rFonts w:ascii="Book Antiqua" w:hAnsi="Book Antiqua"/>
          <w:szCs w:val="22"/>
        </w:rPr>
      </w:pPr>
      <w:r w:rsidRPr="003B3022">
        <w:rPr>
          <w:rFonts w:ascii="Book Antiqua" w:hAnsi="Book Antiqua"/>
          <w:szCs w:val="22"/>
        </w:rPr>
        <w:t>Prawo rzeczowe do XVIII w.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1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Akt </w:t>
      </w:r>
      <w:proofErr w:type="spellStart"/>
      <w:r w:rsidRPr="003B3022">
        <w:rPr>
          <w:rFonts w:ascii="Book Antiqua" w:hAnsi="Book Antiqua"/>
          <w:i/>
          <w:iCs/>
          <w:sz w:val="22"/>
          <w:szCs w:val="22"/>
        </w:rPr>
        <w:t>prekaryjny</w:t>
      </w:r>
      <w:proofErr w:type="spellEnd"/>
      <w:r w:rsidRPr="003B3022">
        <w:rPr>
          <w:rFonts w:ascii="Book Antiqua" w:hAnsi="Book Antiqua"/>
          <w:i/>
          <w:iCs/>
          <w:sz w:val="22"/>
          <w:szCs w:val="22"/>
        </w:rPr>
        <w:t xml:space="preserve"> – formularz </w:t>
      </w:r>
      <w:r w:rsidRPr="003B3022">
        <w:rPr>
          <w:rFonts w:ascii="Book Antiqua" w:hAnsi="Book Antiqua"/>
          <w:sz w:val="22"/>
          <w:szCs w:val="22"/>
        </w:rPr>
        <w:t>(Monarchia Franków):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Panu zawsze mojemu (takiemu a takiemu). Gdy z dnia na dzień cierpiałem nędzę i daremnie szukałem wszędzie pracy dla zarobku, wówczas zwróciłem się do dobroci waszej łaskawości, abyście okazali pomoc przez oddanie mi na prawie </w:t>
      </w:r>
      <w:proofErr w:type="spellStart"/>
      <w:r w:rsidRPr="003B3022">
        <w:rPr>
          <w:rFonts w:ascii="Book Antiqua" w:hAnsi="Book Antiqua"/>
          <w:sz w:val="22"/>
          <w:szCs w:val="22"/>
        </w:rPr>
        <w:t>prekaryjnym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ziemi do uprawy w miejscowości waszej, która nazywa się (tak i tak). Na co też zgadzając się, wasza łaskawość prośbie mej zadośćuczyniła i raczyła oddać mi, jak o to prosiłem, na prawie </w:t>
      </w:r>
      <w:proofErr w:type="spellStart"/>
      <w:r w:rsidRPr="003B3022">
        <w:rPr>
          <w:rFonts w:ascii="Book Antiqua" w:hAnsi="Book Antiqua"/>
          <w:sz w:val="22"/>
          <w:szCs w:val="22"/>
        </w:rPr>
        <w:t>prekaryjnym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ziemie w wymienionej miejscowości za (tyle i tyle) </w:t>
      </w:r>
      <w:proofErr w:type="spellStart"/>
      <w:r w:rsidRPr="003B3022">
        <w:rPr>
          <w:rFonts w:ascii="Book Antiqua" w:hAnsi="Book Antiqua"/>
          <w:sz w:val="22"/>
          <w:szCs w:val="22"/>
        </w:rPr>
        <w:t>modiów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. Dlatego też w moim akcie </w:t>
      </w:r>
      <w:proofErr w:type="spellStart"/>
      <w:r w:rsidRPr="003B3022">
        <w:rPr>
          <w:rFonts w:ascii="Book Antiqua" w:hAnsi="Book Antiqua"/>
          <w:sz w:val="22"/>
          <w:szCs w:val="22"/>
        </w:rPr>
        <w:t>prekaryjnym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uroczyście przyrzekam nigdy w żadnym czasie z powodu tych ziem nie okazać wam jakiegokolwiek sprzeciwu ani też uczynić jakiegoś uszczerbku (...) Dziesięciny zaś, ciężary lub podarki, jak to w zwyczaju u kolonów, przyrzekam uiszczać corocznie. Gdybym zaś, niepomny na wszystkie przyrzeczenia wyrażone wyżej w tym moim akcie </w:t>
      </w:r>
      <w:proofErr w:type="spellStart"/>
      <w:r w:rsidRPr="003B3022">
        <w:rPr>
          <w:rFonts w:ascii="Book Antiqua" w:hAnsi="Book Antiqua"/>
          <w:sz w:val="22"/>
          <w:szCs w:val="22"/>
        </w:rPr>
        <w:t>prekaryjnym</w:t>
      </w:r>
      <w:proofErr w:type="spellEnd"/>
      <w:r w:rsidRPr="003B3022">
        <w:rPr>
          <w:rFonts w:ascii="Book Antiqua" w:hAnsi="Book Antiqua"/>
          <w:sz w:val="22"/>
          <w:szCs w:val="22"/>
        </w:rPr>
        <w:t>, usiłował je złamać w najmniejszym przez swą krnąbrność (...) będziecie mieć pełne prawo wypędzić mnie ze wspomnianych ziem i rozporządzić się nimi na nowo według prawa swego, jak być powinno.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2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Edykt </w:t>
      </w:r>
      <w:proofErr w:type="spellStart"/>
      <w:r w:rsidRPr="003B3022">
        <w:rPr>
          <w:rFonts w:ascii="Book Antiqua" w:hAnsi="Book Antiqua"/>
          <w:i/>
          <w:iCs/>
          <w:sz w:val="22"/>
          <w:szCs w:val="22"/>
        </w:rPr>
        <w:t>Rotara</w:t>
      </w:r>
      <w:proofErr w:type="spellEnd"/>
      <w:r w:rsidRPr="003B302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3B3022">
        <w:rPr>
          <w:rFonts w:ascii="Book Antiqua" w:hAnsi="Book Antiqua"/>
          <w:sz w:val="22"/>
          <w:szCs w:val="22"/>
        </w:rPr>
        <w:t>(643 r.):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228. O posiadaniu. Jeśli ktoś drugiego zaskarży o rzecz ruchomą lub nieruchomą, ponieważ niesłusznie posiadał, a posiadacz zaprzeczy, to postanowiliśmy, że posiadacz – jeśli posiadanie trwało przez pięć lat – powinien albo zaprzeczyć przez przysięgę, albo bronić [się] przez walkę ręczną jeśli będzie mógł.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354. O zaoraniu cudzego pola. Jeżeli ktoś zaorze cudze pole, wiedząc że nie jest jego, albo odważy się siać ziarno, niech straci pracę i plon. A plon niech ma ten, kto udowodni, że pole jest jego.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91283" w:rsidRPr="00E91283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91283">
        <w:rPr>
          <w:rFonts w:ascii="Book Antiqua" w:hAnsi="Book Antiqua"/>
          <w:sz w:val="22"/>
          <w:szCs w:val="22"/>
        </w:rPr>
        <w:t>Nr 3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Zwierciadło Saskie </w:t>
      </w:r>
      <w:r w:rsidRPr="003B3022">
        <w:rPr>
          <w:rFonts w:ascii="Book Antiqua" w:hAnsi="Book Antiqua"/>
          <w:sz w:val="22"/>
          <w:szCs w:val="22"/>
        </w:rPr>
        <w:t xml:space="preserve">(1220-1235 r.) </w:t>
      </w:r>
      <w:r w:rsidRPr="003B3022">
        <w:rPr>
          <w:rFonts w:ascii="Book Antiqua" w:hAnsi="Book Antiqua"/>
          <w:i/>
          <w:iCs/>
          <w:sz w:val="22"/>
          <w:szCs w:val="22"/>
        </w:rPr>
        <w:t>Prawo ziemskie</w:t>
      </w:r>
      <w:r w:rsidRPr="003B3022">
        <w:rPr>
          <w:rFonts w:ascii="Book Antiqua" w:hAnsi="Book Antiqua"/>
          <w:sz w:val="22"/>
          <w:szCs w:val="22"/>
        </w:rPr>
        <w:t>: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35. § 1. Prawo do skarbu. Każdy skarb, głębiej zakopany w ziemi niż sięga pług, należy do władzy królewskiej.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Art. 44. § 1. Nabycie prawnego posiadania. Człowiek, który posiada mienie w ciągu roku i dnia, bez prawnego sprzeciwu, uzyskuje prawo posiadania. 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lastRenderedPageBreak/>
        <w:t>Art. 52. Co i jak może człowiek wyzbywać.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§ 1. Nikomu nie wolno zbywać swego majątku ziemskiego bez [zgody] krewnych lub </w:t>
      </w:r>
      <w:proofErr w:type="spellStart"/>
      <w:r w:rsidRPr="003B3022">
        <w:rPr>
          <w:rFonts w:ascii="Book Antiqua" w:hAnsi="Book Antiqua"/>
          <w:sz w:val="22"/>
          <w:szCs w:val="22"/>
        </w:rPr>
        <w:t>roków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sądowych. (...) Gdy zbędzie je bezprawnie bez zgody krewnych, to spadkobierca obejmuje majątek na mocy wyroku, jak gdyby ten zmarł, który mienie zbywa, gdyż nie miał prawa do jego zbycia.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§ 2. Wszystkie ruchomości zbywa człowiek bez zgody krewnych na każdym miejscu oraz pozostawia i oddaje w lenno mienie dopóki zdoła, z przepasanym mieczem i tarczą, siąść na rumaka, z kamienia lub pnia wysokiego na łokieć, bez pomocy ludzkiej, z tym jednak, że mu konia i strzemię trzymają. Gdy tego uczynić nie jest zdolny, to nie może dawać.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4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Prawa i zwyczaje miasta Pizy </w:t>
      </w:r>
      <w:r w:rsidRPr="003B3022">
        <w:rPr>
          <w:rFonts w:ascii="Book Antiqua" w:hAnsi="Book Antiqua"/>
          <w:sz w:val="22"/>
          <w:szCs w:val="22"/>
        </w:rPr>
        <w:t>(1241-1281 r.)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Z majątku, który ktoś znajdzie na morzu (...) niech będzie obowiązany oddać trzy części właścicielowi, czyli temu dla kogo [ten majątek] załadowano, lub jego spadkobiercy, a czwartą część niech zatrzyma sobie. Wyłączamy złoto, klejnoty, perły, balsam, piżmo, bursztyn i inne rzeczy tej ceny, z których znalazca niech ma ósmą część, a siedem części niech będzie zmuszony oddać właścicielowi.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91283" w:rsidRPr="00E91283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E91283">
        <w:rPr>
          <w:rFonts w:ascii="Book Antiqua" w:hAnsi="Book Antiqua"/>
          <w:sz w:val="22"/>
          <w:szCs w:val="22"/>
          <w:lang w:val="en-US"/>
        </w:rPr>
        <w:t>Nr 5</w:t>
      </w:r>
    </w:p>
    <w:p w:rsidR="00E91283" w:rsidRPr="00E91283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E91283">
        <w:rPr>
          <w:rFonts w:ascii="Book Antiqua" w:hAnsi="Book Antiqua"/>
          <w:i/>
          <w:iCs/>
          <w:sz w:val="22"/>
          <w:szCs w:val="22"/>
          <w:lang w:val="en-US"/>
        </w:rPr>
        <w:t xml:space="preserve">Coutume de Paris </w:t>
      </w:r>
      <w:r w:rsidRPr="00E91283">
        <w:rPr>
          <w:rFonts w:ascii="Book Antiqua" w:hAnsi="Book Antiqua"/>
          <w:sz w:val="22"/>
          <w:szCs w:val="22"/>
          <w:lang w:val="en-US"/>
        </w:rPr>
        <w:t>(1510 r.)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701D4">
        <w:rPr>
          <w:rFonts w:ascii="Book Antiqua" w:hAnsi="Book Antiqua"/>
          <w:sz w:val="22"/>
          <w:szCs w:val="22"/>
          <w:lang w:val="en-US"/>
        </w:rPr>
        <w:t xml:space="preserve">Art. 88. </w:t>
      </w:r>
      <w:r w:rsidRPr="003B3022">
        <w:rPr>
          <w:rFonts w:ascii="Book Antiqua" w:hAnsi="Book Antiqua"/>
          <w:sz w:val="22"/>
          <w:szCs w:val="22"/>
        </w:rPr>
        <w:t xml:space="preserve">W okręgu </w:t>
      </w:r>
      <w:proofErr w:type="spellStart"/>
      <w:r w:rsidRPr="003B3022">
        <w:rPr>
          <w:rFonts w:ascii="Book Antiqua" w:hAnsi="Book Antiqua"/>
          <w:sz w:val="22"/>
          <w:szCs w:val="22"/>
        </w:rPr>
        <w:t>prewotalnym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i w wicehrabstwie Paryża są tylko dwa rodzaje dóbr: to jest ruchome i nieruchome.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91. Ryba znajdująca się w stawie lub w fosie uważana jest za nieruchomość, ale gdy znajduje się w skrzyni z wodą lub w zbiorniku, uważana jest za ruchomość.</w:t>
      </w:r>
    </w:p>
    <w:p w:rsidR="00E91283" w:rsidRPr="003B3022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Art. 92. Drzewo ścięte, zboże, ziarno lub siano skoszone, nawet znajdujące się jeszcze na polu, uważane jest za ruchomość, ale gdy nie jest ścięte i trzyma się korzeniami, uchodzi za nieruchomość. </w:t>
      </w:r>
    </w:p>
    <w:p w:rsidR="00E91283" w:rsidRDefault="00E91283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93. Suma darowana przez ojca, matkę, dziada, babkę lub innych wstępnych dzieciom w związku z zawarciem małżeństwa, w celu zainwestowania w majątek dziedziczny, (...), uważana jest za nieruchomość z powodu [swego] przeznaczenia.</w:t>
      </w:r>
    </w:p>
    <w:p w:rsidR="00D701D4" w:rsidRDefault="00D701D4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Default="00D701D4" w:rsidP="00D701D4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701D4" w:rsidRDefault="00D701D4" w:rsidP="00D701D4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701D4" w:rsidRDefault="00D701D4" w:rsidP="00D701D4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B3022">
        <w:rPr>
          <w:rFonts w:ascii="Book Antiqua" w:hAnsi="Book Antiqua"/>
          <w:b/>
          <w:bCs/>
          <w:sz w:val="22"/>
          <w:szCs w:val="22"/>
        </w:rPr>
        <w:lastRenderedPageBreak/>
        <w:t>Prawo zobowiązań do XVIII w.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1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Lex </w:t>
      </w:r>
      <w:proofErr w:type="spellStart"/>
      <w:r w:rsidRPr="003B3022">
        <w:rPr>
          <w:rFonts w:ascii="Book Antiqua" w:hAnsi="Book Antiqua"/>
          <w:i/>
          <w:iCs/>
          <w:sz w:val="22"/>
          <w:szCs w:val="22"/>
        </w:rPr>
        <w:t>Salica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(początek VI w.):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LVIII. O garści ziemi.</w:t>
      </w:r>
    </w:p>
    <w:p w:rsidR="00D701D4" w:rsidRPr="003B3022" w:rsidRDefault="00D701D4" w:rsidP="00D701D4">
      <w:pPr>
        <w:pStyle w:val="Tekstpodstawowy2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Gdyby ktoś zabił człowieka i oddawszy cały swój majątek nie będzie w stanie zgodnie z prawem uiścić całej należności, wówczas powinien zgłosić dwunastu </w:t>
      </w:r>
      <w:proofErr w:type="spellStart"/>
      <w:r w:rsidRPr="003B3022">
        <w:rPr>
          <w:rFonts w:ascii="Book Antiqua" w:hAnsi="Book Antiqua"/>
          <w:sz w:val="22"/>
          <w:szCs w:val="22"/>
        </w:rPr>
        <w:t>współprzysięgników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dla udowodnienia, że ani na ziemi, ani pod ziemią nie posiada nic ponadto, co już dał. Następnie powinien wejść do swego domu, zebrać w garść ziemię z czterech kątów, stanąć w progu, zwróciwszy się twarzą do wnętrza domu i w ten sposób lewą ręką rzucać tę ziemię przez plecy swoje na tego, kto jest najbliższym jego krewnym ...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2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Edykt </w:t>
      </w:r>
      <w:proofErr w:type="spellStart"/>
      <w:r w:rsidRPr="003B3022">
        <w:rPr>
          <w:rFonts w:ascii="Book Antiqua" w:hAnsi="Book Antiqua"/>
          <w:i/>
          <w:iCs/>
          <w:sz w:val="22"/>
          <w:szCs w:val="22"/>
        </w:rPr>
        <w:t>Rotara</w:t>
      </w:r>
      <w:proofErr w:type="spellEnd"/>
      <w:r w:rsidRPr="003B302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3B3022">
        <w:rPr>
          <w:rFonts w:ascii="Book Antiqua" w:hAnsi="Book Antiqua"/>
          <w:sz w:val="22"/>
          <w:szCs w:val="22"/>
        </w:rPr>
        <w:t>(643 r.):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227. O kupnach i sprzedażach.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Jeżeli ktoś kupi ziemię, to jest grunt pod budowę lub dom z inwentarzem i będzie posiadał przez pięć lat przy obecności danych osób, a potem sprzedawca lub jego spadkobiercy zaskarżą go mówiąc, że użyczył, a nie sprzedał; niech (zbywca) okaże pisma, w których był proszony o użyczenie. A gdyby pism nie miał, nic innego niech nie czyni nabywca, tylko niech złoży przysięgę co do jakości sumy pieniężnej; że kupił tę rzecz za jej cenę i nie powinien tej rzeczy innemu według prawa oddawać. Wtedy niech mu będzie wolno z całą mocą posiadać to, co kupił.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3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Ruska Prawda. Obszerna Prawda </w:t>
      </w:r>
      <w:r w:rsidRPr="003B3022">
        <w:rPr>
          <w:rFonts w:ascii="Book Antiqua" w:hAnsi="Book Antiqua"/>
          <w:sz w:val="22"/>
          <w:szCs w:val="22"/>
        </w:rPr>
        <w:t>(XII w.):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50. O procentach.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Jeżeli kto oddaje pieniądze na procent albo miód na naddatek, albo zboże na przysyp, winien stawić świadków; jak się z nimi ugodził, taki ma być procent.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55. O długu.</w:t>
      </w:r>
    </w:p>
    <w:p w:rsidR="00D701D4" w:rsidRPr="003B3022" w:rsidRDefault="00D701D4" w:rsidP="00D701D4">
      <w:pPr>
        <w:pStyle w:val="Tekstpodstawowy2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Jeżeli kto jest dłużny wielu ludziom i przyjdzie obcy kupiec z innego miasta albo cudzoziemiec i nie wiedząc o tym powierzy mu swój towar, a on nie będzie chciał oddać owemu obcemu pieniędzy, a pierwsi wierzyciele będą mu przeszkadzać w oddaniu pieniędzy, wówczas należy wyprowadzić dłużnika na targ, sprzedać go i oddać najpierw pieniądze obcemu, a współziomkowie tym się podzielą, co ostanie z pieniędzy.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lastRenderedPageBreak/>
        <w:t>Nr 4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Prawa i zwyczaje miasta Pizy </w:t>
      </w:r>
      <w:r w:rsidRPr="003B3022">
        <w:rPr>
          <w:rFonts w:ascii="Book Antiqua" w:hAnsi="Book Antiqua"/>
          <w:sz w:val="22"/>
          <w:szCs w:val="22"/>
        </w:rPr>
        <w:t>(1241-1281 r.):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O szkodzie wyrządzonej okrętowi przez inny okręt.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Jeżeli jakiś okręt ze swej winy wyrządzi szkodę okrętowi, niech będzie obowiązany mu ją naprawić; albo jeżeli jakiś okręt, wchodząc do portu w czasie spokojnym, innemu okrętowi stojącemu w porcie uczyni szkodę uderzając, niech będzie obowiązany mu ją naprawić [...] A jeżeli w czasie burzy jakiś okręt wchodzący do portu uderzy inny stojący i uczyni szkodę, jeśli mógł uniknąć, niech będzie obowiązany mu ją naprawić; jeżeli zaś uniknąć nie mógł, nich nie będzie obowiązany naprawić szkody, ponieważ nie zawinił. 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5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Św. Tomasz z Akwinu, </w:t>
      </w:r>
      <w:r w:rsidRPr="003B3022">
        <w:rPr>
          <w:rFonts w:ascii="Book Antiqua" w:hAnsi="Book Antiqua"/>
          <w:i/>
          <w:iCs/>
          <w:sz w:val="22"/>
          <w:szCs w:val="22"/>
        </w:rPr>
        <w:t xml:space="preserve">Summa </w:t>
      </w:r>
      <w:proofErr w:type="spellStart"/>
      <w:r w:rsidRPr="003B3022">
        <w:rPr>
          <w:rFonts w:ascii="Book Antiqua" w:hAnsi="Book Antiqua"/>
          <w:i/>
          <w:iCs/>
          <w:sz w:val="22"/>
          <w:szCs w:val="22"/>
        </w:rPr>
        <w:t>Theologiae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(1265-74):</w:t>
      </w:r>
    </w:p>
    <w:p w:rsidR="00D701D4" w:rsidRPr="003B3022" w:rsidRDefault="00D701D4" w:rsidP="00D701D4">
      <w:pPr>
        <w:pStyle w:val="Tekstpodstawowy"/>
        <w:rPr>
          <w:rFonts w:ascii="Book Antiqua" w:hAnsi="Book Antiqua"/>
          <w:szCs w:val="22"/>
        </w:rPr>
      </w:pPr>
      <w:r w:rsidRPr="003B3022">
        <w:rPr>
          <w:rFonts w:ascii="Book Antiqua" w:hAnsi="Book Antiqua"/>
          <w:szCs w:val="22"/>
        </w:rPr>
        <w:t>Jest napisane w Księdze Wyjścia (22,24): „Jeśli pożyczysz pieniądze ubogiemu z mojego ludu, żyjącemu obok ciebie, to nie będziesz po</w:t>
      </w:r>
      <w:r w:rsidRPr="003B3022">
        <w:rPr>
          <w:rFonts w:ascii="Book Antiqua" w:hAnsi="Book Antiqua"/>
          <w:szCs w:val="22"/>
        </w:rPr>
        <w:softHyphen/>
        <w:t>stępował wobec niego jak lichwiarz i nie każesz mu płacić odsetek.” Ten, kto pobiera lichwę za pożyczanie pieniędzy postępuje niesprawiedli</w:t>
      </w:r>
      <w:r w:rsidRPr="003B3022">
        <w:rPr>
          <w:rFonts w:ascii="Book Antiqua" w:hAnsi="Book Antiqua"/>
          <w:szCs w:val="22"/>
        </w:rPr>
        <w:softHyphen/>
        <w:t>wie, ponieważ sprzedaje on to, co nie istnieje i takie działanie ewidentnie ustanawia nierów</w:t>
      </w:r>
      <w:r w:rsidRPr="003B3022">
        <w:rPr>
          <w:rFonts w:ascii="Book Antiqua" w:hAnsi="Book Antiqua"/>
          <w:szCs w:val="22"/>
        </w:rPr>
        <w:softHyphen/>
        <w:t>ność i w konsekwencji niesprawiedliwość [...] Z tego wynika, że jest złem samym w sobie pobie</w:t>
      </w:r>
      <w:r w:rsidRPr="003B3022">
        <w:rPr>
          <w:rFonts w:ascii="Book Antiqua" w:hAnsi="Book Antiqua"/>
          <w:szCs w:val="22"/>
        </w:rPr>
        <w:softHyphen/>
        <w:t>ranie opłaty za użycie pożyczonych pieniędzy i tak jak w przypadku innych wy</w:t>
      </w:r>
      <w:r w:rsidRPr="003B3022">
        <w:rPr>
          <w:rFonts w:ascii="Book Antiqua" w:hAnsi="Book Antiqua"/>
          <w:szCs w:val="22"/>
        </w:rPr>
        <w:softHyphen/>
        <w:t>stęp</w:t>
      </w:r>
      <w:r w:rsidRPr="003B3022">
        <w:rPr>
          <w:rFonts w:ascii="Book Antiqua" w:hAnsi="Book Antiqua"/>
          <w:szCs w:val="22"/>
        </w:rPr>
        <w:softHyphen/>
        <w:t>ków przeciwko prawu istnieje obowiązek zwrotu niesprawiedliwie zdobytych pieniędzy.</w:t>
      </w:r>
    </w:p>
    <w:p w:rsidR="00D701D4" w:rsidRPr="003B3022" w:rsidRDefault="00D701D4" w:rsidP="00D701D4">
      <w:pPr>
        <w:pStyle w:val="Tekstpodstawowy"/>
        <w:rPr>
          <w:rFonts w:ascii="Book Antiqua" w:hAnsi="Book Antiqua"/>
          <w:szCs w:val="22"/>
        </w:rPr>
      </w:pPr>
    </w:p>
    <w:p w:rsidR="00D701D4" w:rsidRPr="003B3022" w:rsidRDefault="00D701D4" w:rsidP="00D701D4">
      <w:pPr>
        <w:pStyle w:val="Tekstpodstawowy"/>
        <w:rPr>
          <w:rFonts w:ascii="Book Antiqua" w:hAnsi="Book Antiqua"/>
          <w:szCs w:val="22"/>
        </w:rPr>
      </w:pPr>
      <w:r w:rsidRPr="003B3022">
        <w:rPr>
          <w:rFonts w:ascii="Book Antiqua" w:hAnsi="Book Antiqua"/>
          <w:szCs w:val="22"/>
        </w:rPr>
        <w:t>Nr 6</w:t>
      </w:r>
    </w:p>
    <w:p w:rsidR="00D701D4" w:rsidRPr="003B3022" w:rsidRDefault="00D701D4" w:rsidP="00D701D4">
      <w:pPr>
        <w:pStyle w:val="Tekstpodstawowy"/>
        <w:rPr>
          <w:rFonts w:ascii="Book Antiqua" w:hAnsi="Book Antiqua"/>
          <w:szCs w:val="22"/>
        </w:rPr>
      </w:pPr>
      <w:r w:rsidRPr="003B3022">
        <w:rPr>
          <w:rFonts w:ascii="Book Antiqua" w:hAnsi="Book Antiqua"/>
          <w:i/>
          <w:iCs/>
          <w:szCs w:val="22"/>
        </w:rPr>
        <w:t xml:space="preserve">Umowa spółki kupieckiej </w:t>
      </w:r>
      <w:r w:rsidRPr="003B3022">
        <w:rPr>
          <w:rFonts w:ascii="Book Antiqua" w:hAnsi="Book Antiqua"/>
          <w:szCs w:val="22"/>
        </w:rPr>
        <w:t>(1281 r.):</w:t>
      </w:r>
    </w:p>
    <w:p w:rsidR="00D701D4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Default="00D701D4" w:rsidP="00D701D4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3B3022">
        <w:rPr>
          <w:rFonts w:ascii="Book Antiqua" w:hAnsi="Book Antiqua"/>
          <w:b/>
          <w:bCs/>
          <w:sz w:val="22"/>
          <w:szCs w:val="22"/>
        </w:rPr>
        <w:t>Prawo spadkowe do XVIII w.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1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Lex </w:t>
      </w:r>
      <w:proofErr w:type="spellStart"/>
      <w:r w:rsidRPr="003B3022">
        <w:rPr>
          <w:rFonts w:ascii="Book Antiqua" w:hAnsi="Book Antiqua"/>
          <w:i/>
          <w:iCs/>
          <w:sz w:val="22"/>
          <w:szCs w:val="22"/>
        </w:rPr>
        <w:t>Salica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(początek VI w.):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LIX. O alodiach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1. Jeśli ktoś umarł nie pozostawiwszy synów, a przeżyli go ojciec lub matka jego, to niechaj oni po nim dziedziczą.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2. Gdyby zaś ojciec lub matka nie żyli, a pozostali brat lub siostra, to niechaj oni dziedziczą.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lastRenderedPageBreak/>
        <w:t>3. Jeśliby zaś ich nie było, niechaj dziedziczy siostra ojca.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4. A jeśliby następnie znalazł się bliższy krewny z tego potomstwa, to niechaj on dziedziczy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5. Żaden zaś spadek w ziemi nie będzie należał do kobiety, lecz do [krewnych] płci męskiej [i] bracia, jacy będą, dostaną całą ziemię.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2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Edykt </w:t>
      </w:r>
      <w:proofErr w:type="spellStart"/>
      <w:r w:rsidRPr="003B3022">
        <w:rPr>
          <w:rFonts w:ascii="Book Antiqua" w:hAnsi="Book Antiqua"/>
          <w:i/>
          <w:iCs/>
          <w:sz w:val="22"/>
          <w:szCs w:val="22"/>
        </w:rPr>
        <w:t>Rotara</w:t>
      </w:r>
      <w:proofErr w:type="spellEnd"/>
      <w:r w:rsidRPr="003B302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3B3022">
        <w:rPr>
          <w:rFonts w:ascii="Book Antiqua" w:hAnsi="Book Antiqua"/>
          <w:sz w:val="22"/>
          <w:szCs w:val="22"/>
        </w:rPr>
        <w:t>(643 r.):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168. O wydziedziczeniu synów. Nikomu nie wolno wydziedziczyć swego syna bez niewątpliwej winy, ani darować komuś innemu tego, co się mu [tj. synowi] według prawa należy.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3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Ruska Prawda. Obszerna Prawda </w:t>
      </w:r>
      <w:r w:rsidRPr="003B3022">
        <w:rPr>
          <w:rFonts w:ascii="Book Antiqua" w:hAnsi="Book Antiqua"/>
          <w:sz w:val="22"/>
          <w:szCs w:val="22"/>
        </w:rPr>
        <w:t>(XII w.):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Art. 90. Jeżeli </w:t>
      </w:r>
      <w:proofErr w:type="spellStart"/>
      <w:r w:rsidRPr="003B3022">
        <w:rPr>
          <w:rFonts w:ascii="Book Antiqua" w:hAnsi="Book Antiqua"/>
          <w:sz w:val="22"/>
          <w:szCs w:val="22"/>
        </w:rPr>
        <w:t>smred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umrze. Jeżeli </w:t>
      </w:r>
      <w:proofErr w:type="spellStart"/>
      <w:r w:rsidRPr="003B3022">
        <w:rPr>
          <w:rFonts w:ascii="Book Antiqua" w:hAnsi="Book Antiqua"/>
          <w:sz w:val="22"/>
          <w:szCs w:val="22"/>
        </w:rPr>
        <w:t>smred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 umrze [bezdzietnie], to spadek jego księciu. A jeżeli będą u niego w domu córki, to należy dać część na nie, a jeśli będą zamężne, to nie należy dawać im żadnej części. 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91. O spadku po bojarach i drużynie. Po bojarach i drużynie spadek nie przechodzi na księcia, a jeśli nie będzie synów, córki wezmą.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92. Jeżeli ktoś umierając dom swój rozdzielił między dzieci, na tym ma stać. Jeżeli umrze bez rozporządzenia [majątkiem], to dać wszystkim dzieciom, a część jego samego – duszy.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95. A gdy siostra będzie w domu, nie należy jej się spadek, lecz bracia wydadzą ją za mąż, jak będą mogli (...)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Nr 4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i/>
          <w:iCs/>
          <w:sz w:val="22"/>
          <w:szCs w:val="22"/>
        </w:rPr>
        <w:t xml:space="preserve">Zwierciadło Saskie </w:t>
      </w:r>
      <w:r w:rsidRPr="003B3022">
        <w:rPr>
          <w:rFonts w:ascii="Book Antiqua" w:hAnsi="Book Antiqua"/>
          <w:sz w:val="22"/>
          <w:szCs w:val="22"/>
        </w:rPr>
        <w:t xml:space="preserve">(1220-1235 r.) </w:t>
      </w:r>
      <w:r w:rsidRPr="003B3022">
        <w:rPr>
          <w:rFonts w:ascii="Book Antiqua" w:hAnsi="Book Antiqua"/>
          <w:i/>
          <w:iCs/>
          <w:sz w:val="22"/>
          <w:szCs w:val="22"/>
        </w:rPr>
        <w:t>Prawo ziemskie</w:t>
      </w:r>
      <w:r w:rsidRPr="003B3022">
        <w:rPr>
          <w:rFonts w:ascii="Book Antiqua" w:hAnsi="Book Antiqua"/>
          <w:sz w:val="22"/>
          <w:szCs w:val="22"/>
        </w:rPr>
        <w:t>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6. § 1. Pojęcie spadku. Wszystko to, co mężczyzna po sobie pozostawia, nazywa się spadkiem.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17. § 1. Kolejność dziedziczenia. Gdy człowiek umrze bezdzietnie, to spadek po nim bierze ojciec. Jeżeli nie ma ojca, to bierze go matka lepszym prawem niż brat. Spadek po ojcu, matce, siostrze i bracie bierze syn, a nie córka, chybaby syna nie było. Wtedy bierze córka. Jeżeli jednak spada na dalszych krewnych niż siostry i bracia, wszyscy (...) biorą równe części, mężczyźni i kobiety. Sasi nazywają ich „</w:t>
      </w:r>
      <w:proofErr w:type="spellStart"/>
      <w:r w:rsidRPr="003B3022">
        <w:rPr>
          <w:rFonts w:ascii="Book Antiqua" w:hAnsi="Book Antiqua"/>
          <w:sz w:val="22"/>
          <w:szCs w:val="22"/>
        </w:rPr>
        <w:t>ganerben</w:t>
      </w:r>
      <w:proofErr w:type="spellEnd"/>
      <w:r w:rsidRPr="003B3022">
        <w:rPr>
          <w:rFonts w:ascii="Book Antiqua" w:hAnsi="Book Antiqua"/>
          <w:sz w:val="22"/>
          <w:szCs w:val="22"/>
        </w:rPr>
        <w:t xml:space="preserve">”[tj. współspadkobiercami]. Lecz dziecko syna lub córki bierze spadek przed ojcem i przed matką, przed bratem i przed </w:t>
      </w:r>
      <w:r w:rsidRPr="003B3022">
        <w:rPr>
          <w:rFonts w:ascii="Book Antiqua" w:hAnsi="Book Antiqua"/>
          <w:sz w:val="22"/>
          <w:szCs w:val="22"/>
        </w:rPr>
        <w:lastRenderedPageBreak/>
        <w:t>siostrą, a to dlatego, że spadek nie wychodzi poza zstępnych tak długo, jak długo są zstępni równi stanem [innym spadkobiercom].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3B3022">
        <w:rPr>
          <w:rFonts w:ascii="Book Antiqua" w:hAnsi="Book Antiqua"/>
          <w:sz w:val="22"/>
          <w:szCs w:val="22"/>
          <w:lang w:val="en-US"/>
        </w:rPr>
        <w:t>Nr</w:t>
      </w:r>
      <w:proofErr w:type="spellEnd"/>
      <w:r w:rsidRPr="003B3022">
        <w:rPr>
          <w:rFonts w:ascii="Book Antiqua" w:hAnsi="Book Antiqua"/>
          <w:sz w:val="22"/>
          <w:szCs w:val="22"/>
          <w:lang w:val="en-US"/>
        </w:rPr>
        <w:t xml:space="preserve"> 5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3B3022">
        <w:rPr>
          <w:rFonts w:ascii="Book Antiqua" w:hAnsi="Book Antiqua"/>
          <w:i/>
          <w:iCs/>
          <w:sz w:val="22"/>
          <w:szCs w:val="22"/>
          <w:lang w:val="en-US"/>
        </w:rPr>
        <w:t>Coutume</w:t>
      </w:r>
      <w:proofErr w:type="spellEnd"/>
      <w:r w:rsidRPr="003B3022">
        <w:rPr>
          <w:rFonts w:ascii="Book Antiqua" w:hAnsi="Book Antiqua"/>
          <w:i/>
          <w:iCs/>
          <w:sz w:val="22"/>
          <w:szCs w:val="22"/>
          <w:lang w:val="en-US"/>
        </w:rPr>
        <w:t xml:space="preserve"> de Paris </w:t>
      </w:r>
      <w:r w:rsidRPr="003B3022">
        <w:rPr>
          <w:rFonts w:ascii="Book Antiqua" w:hAnsi="Book Antiqua"/>
          <w:sz w:val="22"/>
          <w:szCs w:val="22"/>
          <w:lang w:val="en-US"/>
        </w:rPr>
        <w:t>(1510 r.):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Tytuł XIV. O testamentach i ich wykonywaniu.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289. Aby uznać testament za ważny wymaga się, żeby był napisany i podpisany przez testatora albo żeby był zeznany przed dwoma notariuszami albo przed proboszczem parafii testatora lub jego wikarym i jednym notariuszem, lub przed tym proboszczem czy wikarym i trzema świadkami, lub przed jednym notariuszem i dwoma świadkami. A świadkowie ci [mają być] zdolni, odpowiedni, płci męskiej i mieć skończone 20 lat oraz nie mogą być zapisobiorcami (...)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292. Wszystkie osoby zdrowe na umyśle, pełnoletnie i używające swych praw, mogą rozporządzać przez testament i [inne] rozporządzenie ostatniej woli na rzecz osoby zdolnej, wszystkimi swymi dobrami ruchomymi i nabytymi dobrami nieruchomymi oraz piątą częścią swych własnych dóbr dziedzicznych i niczym więcej. Chyba, że byłoby to dla celów charytatywnych.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Tytuł XV. O dziedziczeniu w linii prostej i bocznej.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299. Ustanowienie dziedzica nie ma miejsca, to znaczy, nie jest ono wymagane ani konieczne dla ważności testamentu (...)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302. Dzieci dziedziczące po zmarłym dochodzą do spadku po nim na równi, z wyjątkiem majątków dziedzicznych dzierżonych jako lenno lub wolne alodium szlacheckie, stosownie do ograniczeń w Tytule o lennach.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312. W dziedziczeniu w linii prostej własny majątek dziedziczny [zmarłego] nie wraca do góry i nie dziedziczą go ojciec, matka, dziadek czy babka.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 xml:space="preserve">Art. 318. Zmarły bierze w sekwestr żywego, swego spadkobiercę najbliższego i zdolnego do dziedziczenia po nim. </w:t>
      </w:r>
    </w:p>
    <w:p w:rsidR="00D701D4" w:rsidRPr="003B3022" w:rsidRDefault="00D701D4" w:rsidP="00D701D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B3022">
        <w:rPr>
          <w:rFonts w:ascii="Book Antiqua" w:hAnsi="Book Antiqua"/>
          <w:sz w:val="22"/>
          <w:szCs w:val="22"/>
        </w:rPr>
        <w:t>Art. 319. W linii bocznej prawo reprezentacji ma zastosowanie bez ograniczeń w jakimkolwiek stopniu [pokrewieństwa].</w:t>
      </w:r>
    </w:p>
    <w:p w:rsidR="00D701D4" w:rsidRPr="003B3022" w:rsidRDefault="00D701D4" w:rsidP="00E91283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A17948" w:rsidRDefault="00A17948"/>
    <w:sectPr w:rsidR="00A179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2F" w:rsidRDefault="00354C2F" w:rsidP="00C402AD">
      <w:r>
        <w:separator/>
      </w:r>
    </w:p>
  </w:endnote>
  <w:endnote w:type="continuationSeparator" w:id="0">
    <w:p w:rsidR="00354C2F" w:rsidRDefault="00354C2F" w:rsidP="00C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33345"/>
      <w:docPartObj>
        <w:docPartGallery w:val="Page Numbers (Bottom of Page)"/>
        <w:docPartUnique/>
      </w:docPartObj>
    </w:sdtPr>
    <w:sdtEndPr/>
    <w:sdtContent>
      <w:p w:rsidR="00C402AD" w:rsidRDefault="00C402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D4">
          <w:rPr>
            <w:noProof/>
          </w:rPr>
          <w:t>4</w:t>
        </w:r>
        <w:r>
          <w:fldChar w:fldCharType="end"/>
        </w:r>
      </w:p>
    </w:sdtContent>
  </w:sdt>
  <w:p w:rsidR="00C402AD" w:rsidRDefault="00C40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2F" w:rsidRDefault="00354C2F" w:rsidP="00C402AD">
      <w:r>
        <w:separator/>
      </w:r>
    </w:p>
  </w:footnote>
  <w:footnote w:type="continuationSeparator" w:id="0">
    <w:p w:rsidR="00354C2F" w:rsidRDefault="00354C2F" w:rsidP="00C4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3"/>
    <w:rsid w:val="000C6BED"/>
    <w:rsid w:val="00354C2F"/>
    <w:rsid w:val="00624F9C"/>
    <w:rsid w:val="009F29C1"/>
    <w:rsid w:val="00A17948"/>
    <w:rsid w:val="00C402AD"/>
    <w:rsid w:val="00D701D4"/>
    <w:rsid w:val="00E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283"/>
    <w:pPr>
      <w:keepNext/>
      <w:spacing w:line="360" w:lineRule="auto"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28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701D4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1D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701D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01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283"/>
    <w:pPr>
      <w:keepNext/>
      <w:spacing w:line="360" w:lineRule="auto"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28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701D4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1D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701D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01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Michalik</dc:creator>
  <cp:lastModifiedBy>Piotr Michalik</cp:lastModifiedBy>
  <cp:revision>3</cp:revision>
  <dcterms:created xsi:type="dcterms:W3CDTF">2016-02-24T11:29:00Z</dcterms:created>
  <dcterms:modified xsi:type="dcterms:W3CDTF">2016-02-24T11:31:00Z</dcterms:modified>
</cp:coreProperties>
</file>